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3A" w:rsidRDefault="00C2573A" w:rsidP="00C2573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/>
          <w:b/>
          <w:sz w:val="72"/>
          <w:szCs w:val="72"/>
          <w:lang w:eastAsia="cs-CZ"/>
        </w:rPr>
      </w:pPr>
      <w:r>
        <w:rPr>
          <w:rFonts w:ascii="Monotype Corsiva" w:eastAsia="Times New Roman" w:hAnsi="Monotype Corsiva"/>
          <w:b/>
          <w:sz w:val="72"/>
          <w:szCs w:val="72"/>
          <w:lang w:eastAsia="cs-CZ"/>
        </w:rPr>
        <w:t>„</w:t>
      </w:r>
      <w:r>
        <w:rPr>
          <w:rFonts w:ascii="Monotype Corsiva" w:eastAsia="Times New Roman" w:hAnsi="Monotype Corsiva"/>
          <w:b/>
          <w:sz w:val="72"/>
          <w:szCs w:val="72"/>
          <w:lang w:eastAsia="cs-CZ"/>
        </w:rPr>
        <w:t>Sedmihoří“</w:t>
      </w:r>
    </w:p>
    <w:p w:rsidR="00C2573A" w:rsidRDefault="00C2573A" w:rsidP="00C2573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PSČ 348 02 – Staré Sedlo 60</w:t>
      </w:r>
    </w:p>
    <w:p w:rsidR="00C2573A" w:rsidRDefault="00C2573A" w:rsidP="00C2573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   </w:t>
      </w:r>
    </w:p>
    <w:p w:rsidR="00C2573A" w:rsidRDefault="00C2573A" w:rsidP="00C2573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  <w:t xml:space="preserve">        </w:t>
      </w:r>
    </w:p>
    <w:p w:rsidR="00C2573A" w:rsidRDefault="00C2573A" w:rsidP="00C2573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C2573A" w:rsidRDefault="00C2573A" w:rsidP="00C2573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/>
          <w:b/>
          <w:sz w:val="40"/>
          <w:szCs w:val="40"/>
          <w:lang w:eastAsia="cs-CZ"/>
        </w:rPr>
        <w:t>Oznámení o zveřejnění</w:t>
      </w:r>
    </w:p>
    <w:p w:rsidR="00C2573A" w:rsidRDefault="00C2573A" w:rsidP="00C2573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</w:p>
    <w:p w:rsidR="00C2573A" w:rsidRDefault="00C2573A" w:rsidP="00C2573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V souladu se zákonem č.250/2000 Sb., o rozpočtových pravidlech územních rozpočtů, v platném znění, oznamujeme, že</w:t>
      </w:r>
    </w:p>
    <w:p w:rsidR="00C2573A" w:rsidRDefault="00C2573A" w:rsidP="00C2573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cs-CZ"/>
        </w:rPr>
      </w:pPr>
    </w:p>
    <w:p w:rsidR="00C2573A" w:rsidRDefault="00C2573A" w:rsidP="00C2573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C2573A" w:rsidRDefault="00C2573A" w:rsidP="00C2573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C2573A" w:rsidRDefault="00C2573A" w:rsidP="00C2573A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sz w:val="32"/>
          <w:szCs w:val="32"/>
          <w:lang w:eastAsia="cs-CZ"/>
        </w:rPr>
        <w:t>Schválený rozpočet na rok 2022</w:t>
      </w:r>
    </w:p>
    <w:p w:rsidR="00C2573A" w:rsidRDefault="00C2573A" w:rsidP="00C2573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sz w:val="32"/>
          <w:szCs w:val="32"/>
          <w:lang w:eastAsia="cs-CZ"/>
        </w:rPr>
        <w:t>Střednědobý výhled rozpočtu na roky 2019 – 2023</w:t>
      </w:r>
    </w:p>
    <w:p w:rsidR="00C2573A" w:rsidRDefault="00C2573A" w:rsidP="00C2573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sz w:val="32"/>
          <w:szCs w:val="32"/>
          <w:lang w:eastAsia="cs-CZ"/>
        </w:rPr>
        <w:t>Rozpočtové opatření k rozpočtu roku 2022</w:t>
      </w:r>
    </w:p>
    <w:p w:rsidR="00C2573A" w:rsidRDefault="00C2573A" w:rsidP="00C2573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sz w:val="32"/>
          <w:szCs w:val="32"/>
          <w:lang w:eastAsia="cs-CZ"/>
        </w:rPr>
        <w:t>Závěrečný účet za rok 2021</w:t>
      </w:r>
    </w:p>
    <w:p w:rsidR="00C2573A" w:rsidRDefault="00C2573A" w:rsidP="00C2573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C2573A" w:rsidRDefault="00C2573A" w:rsidP="00C2573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Jsou zveřejněny v úplném znění v elektronické podobě na adrese:</w:t>
      </w:r>
    </w:p>
    <w:p w:rsidR="00C2573A" w:rsidRDefault="00C2573A" w:rsidP="00C2573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C2573A" w:rsidRDefault="00C2573A" w:rsidP="00C2573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Style w:val="Hypertextovodkaz"/>
        </w:rPr>
      </w:pPr>
      <w:hyperlink r:id="rId4" w:history="1">
        <w:r>
          <w:rPr>
            <w:rStyle w:val="Hypertextovodkaz"/>
            <w:rFonts w:ascii="Times New Roman" w:eastAsia="Times New Roman" w:hAnsi="Times New Roman"/>
            <w:sz w:val="28"/>
            <w:szCs w:val="28"/>
            <w:lang w:eastAsia="cs-CZ"/>
          </w:rPr>
          <w:t>www.obecstaresedlo.cz/</w:t>
        </w:r>
        <w:bookmarkStart w:id="0" w:name="_Hlt119423931"/>
        <w:bookmarkStart w:id="1" w:name="_Hlt119423932"/>
        <w:bookmarkStart w:id="2" w:name="_Hlt119423936"/>
        <w:bookmarkEnd w:id="0"/>
        <w:bookmarkEnd w:id="1"/>
        <w:bookmarkEnd w:id="2"/>
      </w:hyperlink>
    </w:p>
    <w:p w:rsidR="00C2573A" w:rsidRDefault="00C2573A" w:rsidP="00C2573A">
      <w:pPr>
        <w:overflowPunct w:val="0"/>
        <w:autoSpaceDE w:val="0"/>
        <w:autoSpaceDN w:val="0"/>
        <w:adjustRightInd w:val="0"/>
        <w:spacing w:after="0" w:line="240" w:lineRule="auto"/>
        <w:jc w:val="center"/>
      </w:pPr>
      <w:hyperlink r:id="rId5" w:history="1">
        <w:r>
          <w:rPr>
            <w:rStyle w:val="Hypertextovodkaz"/>
            <w:rFonts w:ascii="Times New Roman" w:eastAsia="Times New Roman" w:hAnsi="Times New Roman"/>
            <w:sz w:val="28"/>
            <w:szCs w:val="28"/>
            <w:lang w:eastAsia="cs-CZ"/>
          </w:rPr>
          <w:t xml:space="preserve">v sekci úřední </w:t>
        </w:r>
        <w:r>
          <w:rPr>
            <w:rStyle w:val="Hypertextovodkaz"/>
            <w:rFonts w:ascii="Times New Roman" w:eastAsia="Times New Roman" w:hAnsi="Times New Roman"/>
            <w:sz w:val="28"/>
            <w:szCs w:val="28"/>
            <w:lang w:eastAsia="cs-CZ"/>
          </w:rPr>
          <w:t xml:space="preserve">deska – </w:t>
        </w:r>
        <w:r>
          <w:rPr>
            <w:rStyle w:val="Hypertextovodkaz"/>
            <w:rFonts w:ascii="Times New Roman" w:eastAsia="Times New Roman" w:hAnsi="Times New Roman"/>
            <w:sz w:val="28"/>
            <w:szCs w:val="28"/>
            <w:lang w:eastAsia="cs-CZ"/>
          </w:rPr>
          <w:t>DSO obce</w:t>
        </w:r>
        <w:r>
          <w:rPr>
            <w:rStyle w:val="Hypertextovodkaz"/>
            <w:rFonts w:ascii="Times New Roman" w:eastAsia="Times New Roman" w:hAnsi="Times New Roman"/>
            <w:sz w:val="28"/>
            <w:szCs w:val="28"/>
            <w:lang w:eastAsia="cs-CZ"/>
          </w:rPr>
          <w:t xml:space="preserve"> Sedmihoří</w:t>
        </w:r>
      </w:hyperlink>
    </w:p>
    <w:p w:rsidR="00C2573A" w:rsidRDefault="00C2573A" w:rsidP="00C2573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C2573A" w:rsidRDefault="00C2573A" w:rsidP="00C2573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Do dokumentů v písemné podobě lze nahlédnout v sídle 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DSO Sedmihoří</w:t>
      </w:r>
      <w:bookmarkStart w:id="3" w:name="_GoBack"/>
      <w:bookmarkEnd w:id="3"/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na adrese Staré Sedlo 60. (kancelář obecního úřadu Staré Sedlo)</w:t>
      </w:r>
    </w:p>
    <w:p w:rsidR="00C2573A" w:rsidRDefault="00C2573A" w:rsidP="00C2573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C2573A" w:rsidRDefault="00C2573A" w:rsidP="00C2573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C2573A" w:rsidRDefault="00C2573A" w:rsidP="00C2573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C2573A" w:rsidRDefault="00C2573A" w:rsidP="00C2573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Vyvěšeno dne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cs-CZ"/>
        </w:rPr>
        <w:t>30.6.2022</w:t>
      </w:r>
      <w:proofErr w:type="gramEnd"/>
    </w:p>
    <w:p w:rsidR="00C2573A" w:rsidRDefault="00C2573A" w:rsidP="00C2573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C2573A" w:rsidRDefault="00C2573A" w:rsidP="00C2573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C2573A" w:rsidRDefault="00C2573A" w:rsidP="00C2573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D82B39" w:rsidRDefault="00D82B39"/>
    <w:sectPr w:rsidR="00D82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3A"/>
    <w:rsid w:val="00C2573A"/>
    <w:rsid w:val="00D8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A7454-B725-4EAD-BB05-68B25343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57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257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ecstaresedlo.cz/%0dv&#160;sekci%20&#250;&#345;edni%20deska%20&#8211;%20Sdru&#382;en&#237;%20les&#367;%20Sedmiho&#345;&#237;" TargetMode="External"/><Relationship Id="rId4" Type="http://schemas.openxmlformats.org/officeDocument/2006/relationships/hyperlink" Target="http://www.obecstaresedlo.cz/%0dv&#160;sekci%20&#250;&#345;edni%20deska%20&#8211;%20Sdru&#382;en&#237;%20les&#367;%20Sedmiho&#345;&#237;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2022-11-15T16:08:00Z</dcterms:created>
  <dcterms:modified xsi:type="dcterms:W3CDTF">2022-11-15T16:09:00Z</dcterms:modified>
</cp:coreProperties>
</file>